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C9A" w14:textId="0D2F05F6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237513">
        <w:rPr>
          <w:rFonts w:ascii="Arial" w:hAnsi="Arial"/>
          <w:b/>
          <w:sz w:val="32"/>
          <w:szCs w:val="32"/>
        </w:rPr>
        <w:t>9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20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191F0C18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</w:t>
      </w:r>
      <w:r w:rsidR="00237513">
        <w:rPr>
          <w:szCs w:val="24"/>
        </w:rPr>
        <w:t>20</w:t>
      </w:r>
      <w:r>
        <w:rPr>
          <w:szCs w:val="24"/>
        </w:rPr>
        <w:t>/202</w:t>
      </w:r>
      <w:r w:rsidR="00237513">
        <w:rPr>
          <w:szCs w:val="24"/>
        </w:rPr>
        <w:t>1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7777777" w:rsidR="00B00981" w:rsidRDefault="00B00981" w:rsidP="00B00981">
      <w:pPr>
        <w:rPr>
          <w:sz w:val="22"/>
        </w:rPr>
      </w:pPr>
    </w:p>
    <w:tbl>
      <w:tblPr>
        <w:tblStyle w:val="Tabellrutnt"/>
        <w:tblW w:w="9923" w:type="dxa"/>
        <w:tblInd w:w="-71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B00981" w14:paraId="59898CB9" w14:textId="77777777" w:rsidTr="008355FA">
        <w:tc>
          <w:tcPr>
            <w:tcW w:w="6379" w:type="dxa"/>
          </w:tcPr>
          <w:p w14:paraId="4ED60BD9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3544" w:type="dxa"/>
          </w:tcPr>
          <w:p w14:paraId="04916984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Prova på veckor</w:t>
            </w:r>
          </w:p>
        </w:tc>
      </w:tr>
      <w:tr w:rsidR="00B00981" w14:paraId="1A76E86C" w14:textId="77777777" w:rsidTr="008355FA">
        <w:tc>
          <w:tcPr>
            <w:tcW w:w="6379" w:type="dxa"/>
          </w:tcPr>
          <w:p w14:paraId="0CE86FA6" w14:textId="74CBA41F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estetiska verksamheter</w:t>
            </w:r>
            <w:r w:rsidR="008355FA">
              <w:rPr>
                <w:sz w:val="22"/>
              </w:rPr>
              <w:t xml:space="preserve"> (ESV)</w:t>
            </w:r>
          </w:p>
        </w:tc>
        <w:tc>
          <w:tcPr>
            <w:tcW w:w="3544" w:type="dxa"/>
          </w:tcPr>
          <w:p w14:paraId="4C0FEFFF" w14:textId="66132129" w:rsidR="00B00981" w:rsidRDefault="00237513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588ABD22" w14:textId="77777777" w:rsidTr="008355FA">
        <w:tc>
          <w:tcPr>
            <w:tcW w:w="6379" w:type="dxa"/>
          </w:tcPr>
          <w:p w14:paraId="62A1A1CD" w14:textId="589C08FD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hotell, restaurang och bageri</w:t>
            </w:r>
            <w:r w:rsidR="008355FA">
              <w:rPr>
                <w:sz w:val="22"/>
              </w:rPr>
              <w:t xml:space="preserve"> (HRB)</w:t>
            </w:r>
          </w:p>
        </w:tc>
        <w:tc>
          <w:tcPr>
            <w:tcW w:w="3544" w:type="dxa"/>
          </w:tcPr>
          <w:p w14:paraId="6DC92484" w14:textId="5C0C4F5C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7AB77E53" w14:textId="77777777" w:rsidTr="008355FA">
        <w:tc>
          <w:tcPr>
            <w:tcW w:w="6379" w:type="dxa"/>
          </w:tcPr>
          <w:p w14:paraId="5D86B1D1" w14:textId="416BD2A4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administration, handel och varuhantering </w:t>
            </w:r>
            <w:r w:rsidR="008355FA">
              <w:rPr>
                <w:sz w:val="22"/>
              </w:rPr>
              <w:t>(AHV)</w:t>
            </w:r>
          </w:p>
        </w:tc>
        <w:tc>
          <w:tcPr>
            <w:tcW w:w="3544" w:type="dxa"/>
          </w:tcPr>
          <w:p w14:paraId="1360916B" w14:textId="7E0EEF07" w:rsidR="00B00981" w:rsidRDefault="00B00981" w:rsidP="008355FA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r w:rsidR="008355FA">
              <w:rPr>
                <w:sz w:val="22"/>
              </w:rPr>
              <w:t>45 – v.15</w:t>
            </w: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77777777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>Jag önskar provperiod på: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7777777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FA14DE1" w14:textId="30A9C0D7" w:rsidR="005B3073" w:rsidRDefault="005B3073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5C49CDEA" w14:textId="026F20D4" w:rsidR="00B00981" w:rsidRDefault="00B00981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För elever med särskilda behov, t.ex. autism, görs ett besök av </w:t>
            </w:r>
            <w:r>
              <w:rPr>
                <w:sz w:val="22"/>
              </w:rPr>
              <w:t>l</w:t>
            </w:r>
            <w:r w:rsidRPr="00592920">
              <w:rPr>
                <w:sz w:val="22"/>
              </w:rPr>
              <w:t>ärare från Häggvik</w:t>
            </w:r>
            <w:r>
              <w:rPr>
                <w:sz w:val="22"/>
              </w:rPr>
              <w:t>s Gymnasium, innan prov</w:t>
            </w:r>
            <w:r w:rsidRPr="00592920">
              <w:rPr>
                <w:sz w:val="22"/>
              </w:rPr>
              <w:t>period fastställs.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5E201CB7" w14:textId="77777777" w:rsidR="00B00981" w:rsidRDefault="00B00981" w:rsidP="00B00981"/>
    <w:p w14:paraId="5DFECDF2" w14:textId="251739F7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t>Önskemål skickas ti</w:t>
      </w:r>
      <w:r w:rsidR="00237513">
        <w:rPr>
          <w:snapToGrid w:val="0"/>
          <w:sz w:val="22"/>
        </w:rPr>
        <w:t xml:space="preserve">ll </w:t>
      </w:r>
      <w:proofErr w:type="spellStart"/>
      <w:r>
        <w:rPr>
          <w:snapToGrid w:val="0"/>
          <w:sz w:val="22"/>
        </w:rPr>
        <w:t>Häggviks</w:t>
      </w:r>
      <w:proofErr w:type="spellEnd"/>
      <w:r>
        <w:rPr>
          <w:snapToGrid w:val="0"/>
          <w:sz w:val="22"/>
        </w:rPr>
        <w:t xml:space="preserve"> Gymnasium,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41269756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237513">
        <w:rPr>
          <w:b/>
          <w:sz w:val="22"/>
        </w:rPr>
        <w:t xml:space="preserve">Daniel Nyberg, biträdande rektor </w:t>
      </w:r>
      <w:proofErr w:type="gramStart"/>
      <w:r w:rsidR="00237513">
        <w:rPr>
          <w:b/>
          <w:sz w:val="22"/>
        </w:rPr>
        <w:t>076-1300781</w:t>
      </w:r>
      <w:proofErr w:type="gramEnd"/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lastRenderedPageBreak/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1660F447" w14:textId="624FD72D" w:rsidR="005B3073" w:rsidRDefault="005B3073" w:rsidP="00B00981">
      <w:pPr>
        <w:ind w:left="-426"/>
      </w:pPr>
    </w:p>
    <w:p w14:paraId="2BFEB68F" w14:textId="61A9FAC1" w:rsidR="005B3073" w:rsidRDefault="005B3073" w:rsidP="00B00981">
      <w:pPr>
        <w:ind w:left="-426"/>
      </w:pPr>
    </w:p>
    <w:p w14:paraId="5105AA4F" w14:textId="76AFDE60" w:rsidR="005B3073" w:rsidRDefault="005B3073" w:rsidP="00B00981">
      <w:pPr>
        <w:ind w:left="-426"/>
      </w:pPr>
    </w:p>
    <w:p w14:paraId="53F30F12" w14:textId="3B6C9079" w:rsidR="005B3073" w:rsidRDefault="005B3073" w:rsidP="00B00981">
      <w:pPr>
        <w:ind w:left="-426"/>
      </w:pPr>
    </w:p>
    <w:p w14:paraId="19DFFECF" w14:textId="12123313" w:rsidR="00B00981" w:rsidRDefault="00B00981" w:rsidP="00B00981">
      <w:pPr>
        <w:tabs>
          <w:tab w:val="left" w:pos="426"/>
        </w:tabs>
        <w:outlineLvl w:val="0"/>
      </w:pPr>
    </w:p>
    <w:p w14:paraId="5F3E14CD" w14:textId="77777777" w:rsidR="00237513" w:rsidRDefault="00237513" w:rsidP="00B00981">
      <w:pPr>
        <w:tabs>
          <w:tab w:val="left" w:pos="426"/>
        </w:tabs>
        <w:outlineLvl w:val="0"/>
      </w:pPr>
      <w:bookmarkStart w:id="0" w:name="_GoBack"/>
      <w:bookmarkEnd w:id="0"/>
    </w:p>
    <w:p w14:paraId="413F13BB" w14:textId="77777777" w:rsidR="00B00981" w:rsidRDefault="00B0098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Pedagogisk</w:t>
      </w:r>
      <w:r w:rsidRPr="002561B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6E7A6978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13CA3832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 xml:space="preserve">Går eleven sista året i nuvarande skola (lå 17/18)?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lastRenderedPageBreak/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237513">
              <w:rPr>
                <w:sz w:val="20"/>
              </w:rPr>
            </w:r>
            <w:r w:rsidR="00237513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B3CFDC0" w14:textId="77777777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lastRenderedPageBreak/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FA92" w14:textId="77777777" w:rsidR="00767476" w:rsidRDefault="00767476" w:rsidP="00AC6EAE">
      <w:r>
        <w:separator/>
      </w:r>
    </w:p>
  </w:endnote>
  <w:endnote w:type="continuationSeparator" w:id="0">
    <w:p w14:paraId="12C65E2C" w14:textId="77777777" w:rsidR="00767476" w:rsidRDefault="00767476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48467" w14:textId="77777777" w:rsidR="00767476" w:rsidRDefault="00767476" w:rsidP="00AC6EAE">
      <w:r>
        <w:separator/>
      </w:r>
    </w:p>
  </w:footnote>
  <w:footnote w:type="continuationSeparator" w:id="0">
    <w:p w14:paraId="1EF88996" w14:textId="77777777" w:rsidR="00767476" w:rsidRDefault="00767476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6059FD"/>
    <w:rsid w:val="006108D9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00981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5C13B-17A8-40EC-97FB-2BA84495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Karin Persson</cp:lastModifiedBy>
  <cp:revision>2</cp:revision>
  <cp:lastPrinted>2017-09-13T07:34:00Z</cp:lastPrinted>
  <dcterms:created xsi:type="dcterms:W3CDTF">2019-06-20T12:21:00Z</dcterms:created>
  <dcterms:modified xsi:type="dcterms:W3CDTF">2019-06-20T12:21:00Z</dcterms:modified>
</cp:coreProperties>
</file>